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F69" w:rsidRDefault="00752F69"/>
    <w:p w:rsidR="00A01C42" w:rsidRDefault="00A01C42"/>
    <w:p w:rsidR="00A01C42" w:rsidRDefault="00A01C42">
      <w:r>
        <w:t>CORDOBA</w:t>
      </w:r>
    </w:p>
    <w:p w:rsidR="00A01C42" w:rsidRDefault="00A01C42"/>
    <w:tbl>
      <w:tblPr>
        <w:tblW w:w="0" w:type="auto"/>
        <w:jc w:val="center"/>
        <w:tblCellSpacing w:w="0" w:type="dxa"/>
        <w:tblCellMar>
          <w:left w:w="0" w:type="dxa"/>
          <w:right w:w="0" w:type="dxa"/>
        </w:tblCellMar>
        <w:tblLook w:val="04A0"/>
      </w:tblPr>
      <w:tblGrid>
        <w:gridCol w:w="9912"/>
      </w:tblGrid>
      <w:tr w:rsidR="00A01C42" w:rsidTr="00A01C42">
        <w:trPr>
          <w:tblCellSpacing w:w="0" w:type="dxa"/>
          <w:jc w:val="center"/>
        </w:trPr>
        <w:tc>
          <w:tcPr>
            <w:tcW w:w="8704" w:type="dxa"/>
            <w:shd w:val="clear" w:color="auto" w:fill="F7F7F7"/>
            <w:tcMar>
              <w:top w:w="161" w:type="dxa"/>
              <w:left w:w="537" w:type="dxa"/>
              <w:bottom w:w="161" w:type="dxa"/>
              <w:right w:w="537" w:type="dxa"/>
            </w:tcMar>
            <w:hideMark/>
          </w:tcPr>
          <w:tbl>
            <w:tblPr>
              <w:tblW w:w="0" w:type="auto"/>
              <w:tblCellSpacing w:w="0" w:type="dxa"/>
              <w:tblCellMar>
                <w:left w:w="0" w:type="dxa"/>
                <w:right w:w="0" w:type="dxa"/>
              </w:tblCellMar>
              <w:tblLook w:val="04A0"/>
            </w:tblPr>
            <w:tblGrid>
              <w:gridCol w:w="2026"/>
              <w:gridCol w:w="6812"/>
            </w:tblGrid>
            <w:tr w:rsidR="00A01C42">
              <w:trPr>
                <w:tblCellSpacing w:w="0" w:type="dxa"/>
              </w:trPr>
              <w:tc>
                <w:tcPr>
                  <w:tcW w:w="10335" w:type="dxa"/>
                  <w:gridSpan w:val="2"/>
                  <w:hideMark/>
                </w:tcPr>
                <w:p w:rsidR="00A01C42" w:rsidRDefault="00A01C42">
                  <w:pPr>
                    <w:spacing w:before="100" w:beforeAutospacing="1" w:after="100" w:afterAutospacing="1"/>
                    <w:outlineLvl w:val="2"/>
                    <w:rPr>
                      <w:rFonts w:ascii="Arial" w:eastAsia="Times New Roman" w:hAnsi="Arial" w:cs="Arial"/>
                      <w:b/>
                      <w:bCs/>
                      <w:color w:val="6E6E6E"/>
                      <w:sz w:val="36"/>
                      <w:szCs w:val="36"/>
                      <w:lang w:eastAsia="es-AR"/>
                    </w:rPr>
                  </w:pPr>
                  <w:r>
                    <w:rPr>
                      <w:rFonts w:ascii="Arial" w:eastAsia="Times New Roman" w:hAnsi="Arial" w:cs="Arial"/>
                      <w:b/>
                      <w:bCs/>
                      <w:color w:val="6E6E6E"/>
                      <w:sz w:val="36"/>
                      <w:szCs w:val="36"/>
                      <w:lang w:eastAsia="es-AR"/>
                    </w:rPr>
                    <w:t>DECRETO</w:t>
                  </w:r>
                </w:p>
              </w:tc>
            </w:tr>
            <w:tr w:rsidR="00A01C42">
              <w:trPr>
                <w:tblCellSpacing w:w="0" w:type="dxa"/>
              </w:trPr>
              <w:tc>
                <w:tcPr>
                  <w:tcW w:w="2325" w:type="dxa"/>
                  <w:hideMark/>
                </w:tcPr>
                <w:p w:rsidR="00A01C42" w:rsidRDefault="00A01C42">
                  <w:pPr>
                    <w:jc w:val="right"/>
                    <w:rPr>
                      <w:rFonts w:ascii="Times New Roman" w:eastAsia="Times New Roman" w:hAnsi="Times New Roman" w:cs="Times New Roman"/>
                      <w:color w:val="000000"/>
                      <w:sz w:val="24"/>
                      <w:szCs w:val="24"/>
                      <w:lang w:eastAsia="es-AR"/>
                    </w:rPr>
                  </w:pPr>
                  <w:r>
                    <w:rPr>
                      <w:rFonts w:ascii="Arial" w:eastAsia="Times New Roman" w:hAnsi="Arial" w:cs="Arial"/>
                      <w:b/>
                      <w:bCs/>
                      <w:color w:val="6E6E6E"/>
                      <w:sz w:val="14"/>
                      <w:szCs w:val="14"/>
                      <w:lang w:eastAsia="es-AR"/>
                    </w:rPr>
                    <w:t>Número:</w:t>
                  </w:r>
                </w:p>
              </w:tc>
              <w:tc>
                <w:tcPr>
                  <w:tcW w:w="8010" w:type="dxa"/>
                  <w:hideMark/>
                </w:tcPr>
                <w:p w:rsidR="00A01C42" w:rsidRDefault="00A01C42">
                  <w:pPr>
                    <w:ind w:left="720"/>
                    <w:rPr>
                      <w:rFonts w:ascii="Times New Roman" w:eastAsia="Times New Roman" w:hAnsi="Times New Roman" w:cs="Times New Roman"/>
                      <w:color w:val="000000"/>
                      <w:sz w:val="24"/>
                      <w:szCs w:val="24"/>
                      <w:lang w:eastAsia="es-AR"/>
                    </w:rPr>
                  </w:pPr>
                  <w:r>
                    <w:rPr>
                      <w:rFonts w:ascii="Arial" w:eastAsia="Times New Roman" w:hAnsi="Arial" w:cs="Arial"/>
                      <w:color w:val="5F5F5F"/>
                      <w:sz w:val="14"/>
                      <w:szCs w:val="14"/>
                      <w:lang w:eastAsia="es-AR"/>
                    </w:rPr>
                    <w:t>1534-03</w:t>
                  </w:r>
                </w:p>
              </w:tc>
            </w:tr>
            <w:tr w:rsidR="00A01C42">
              <w:trPr>
                <w:tblCellSpacing w:w="0" w:type="dxa"/>
              </w:trPr>
              <w:tc>
                <w:tcPr>
                  <w:tcW w:w="2325" w:type="dxa"/>
                  <w:hideMark/>
                </w:tcPr>
                <w:p w:rsidR="00A01C42" w:rsidRDefault="00A01C42">
                  <w:pPr>
                    <w:jc w:val="right"/>
                    <w:rPr>
                      <w:rFonts w:ascii="Times New Roman" w:eastAsia="Times New Roman" w:hAnsi="Times New Roman" w:cs="Times New Roman"/>
                      <w:color w:val="000000"/>
                      <w:sz w:val="24"/>
                      <w:szCs w:val="24"/>
                      <w:lang w:eastAsia="es-AR"/>
                    </w:rPr>
                  </w:pPr>
                  <w:r>
                    <w:rPr>
                      <w:rFonts w:ascii="Arial" w:eastAsia="Times New Roman" w:hAnsi="Arial" w:cs="Arial"/>
                      <w:b/>
                      <w:bCs/>
                      <w:color w:val="6E6E6E"/>
                      <w:sz w:val="14"/>
                      <w:szCs w:val="14"/>
                      <w:lang w:eastAsia="es-AR"/>
                    </w:rPr>
                    <w:t>Año:</w:t>
                  </w:r>
                </w:p>
              </w:tc>
              <w:tc>
                <w:tcPr>
                  <w:tcW w:w="8010" w:type="dxa"/>
                  <w:hideMark/>
                </w:tcPr>
                <w:p w:rsidR="00A01C42" w:rsidRDefault="00A01C42">
                  <w:pPr>
                    <w:ind w:left="720"/>
                    <w:rPr>
                      <w:rFonts w:ascii="Times New Roman" w:eastAsia="Times New Roman" w:hAnsi="Times New Roman" w:cs="Times New Roman"/>
                      <w:color w:val="000000"/>
                      <w:sz w:val="24"/>
                      <w:szCs w:val="24"/>
                      <w:lang w:eastAsia="es-AR"/>
                    </w:rPr>
                  </w:pPr>
                  <w:r>
                    <w:rPr>
                      <w:rFonts w:ascii="Arial" w:eastAsia="Times New Roman" w:hAnsi="Arial" w:cs="Arial"/>
                      <w:color w:val="5F5F5F"/>
                      <w:sz w:val="14"/>
                      <w:szCs w:val="14"/>
                      <w:lang w:eastAsia="es-AR"/>
                    </w:rPr>
                    <w:t>2003</w:t>
                  </w:r>
                </w:p>
              </w:tc>
            </w:tr>
            <w:tr w:rsidR="00A01C42">
              <w:trPr>
                <w:tblCellSpacing w:w="0" w:type="dxa"/>
              </w:trPr>
              <w:tc>
                <w:tcPr>
                  <w:tcW w:w="0" w:type="auto"/>
                  <w:hideMark/>
                </w:tcPr>
                <w:p w:rsidR="00A01C42" w:rsidRDefault="00A01C42">
                  <w:pPr>
                    <w:rPr>
                      <w:rFonts w:cs="Times New Roman"/>
                    </w:rPr>
                  </w:pPr>
                </w:p>
              </w:tc>
              <w:tc>
                <w:tcPr>
                  <w:tcW w:w="8010" w:type="dxa"/>
                  <w:hideMark/>
                </w:tcPr>
                <w:p w:rsidR="00A01C42" w:rsidRDefault="00A01C42">
                  <w:pPr>
                    <w:rPr>
                      <w:rFonts w:ascii="Times New Roman" w:eastAsia="Times New Roman" w:hAnsi="Times New Roman" w:cs="Times New Roman"/>
                      <w:color w:val="000000"/>
                      <w:sz w:val="24"/>
                      <w:szCs w:val="24"/>
                      <w:lang w:eastAsia="es-AR"/>
                    </w:rPr>
                  </w:pPr>
                  <w:r>
                    <w:rPr>
                      <w:rFonts w:ascii="Times New Roman" w:eastAsia="Times New Roman" w:hAnsi="Times New Roman" w:cs="Times New Roman"/>
                      <w:noProof/>
                      <w:color w:val="000000"/>
                      <w:sz w:val="24"/>
                      <w:szCs w:val="24"/>
                      <w:lang w:eastAsia="es-AR"/>
                    </w:rPr>
                    <w:drawing>
                      <wp:inline distT="0" distB="0" distL="0" distR="0">
                        <wp:extent cx="8255" cy="8255"/>
                        <wp:effectExtent l="0" t="0" r="0" b="0"/>
                        <wp:docPr id="1" name="Imagen 1" descr="http://web2.cba.gov.ar/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eb2.cba.gov.ar/icons/ecblank.gif"/>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bl>
          <w:p w:rsidR="00A01C42" w:rsidRDefault="00A01C42">
            <w:pPr>
              <w:rPr>
                <w:rFonts w:cs="Times New Roman"/>
              </w:rPr>
            </w:pPr>
          </w:p>
        </w:tc>
      </w:tr>
      <w:tr w:rsidR="00A01C42" w:rsidTr="00A01C42">
        <w:trPr>
          <w:tblCellSpacing w:w="0" w:type="dxa"/>
          <w:jc w:val="center"/>
        </w:trPr>
        <w:tc>
          <w:tcPr>
            <w:tcW w:w="11340" w:type="dxa"/>
            <w:hideMark/>
          </w:tcPr>
          <w:tbl>
            <w:tblPr>
              <w:tblW w:w="0" w:type="auto"/>
              <w:jc w:val="center"/>
              <w:tblCellSpacing w:w="0" w:type="dxa"/>
              <w:tblCellMar>
                <w:left w:w="0" w:type="dxa"/>
                <w:right w:w="0" w:type="dxa"/>
              </w:tblCellMar>
              <w:tblLook w:val="04A0"/>
            </w:tblPr>
            <w:tblGrid>
              <w:gridCol w:w="9912"/>
            </w:tblGrid>
            <w:tr w:rsidR="00A01C42">
              <w:trPr>
                <w:tblCellSpacing w:w="0" w:type="dxa"/>
                <w:jc w:val="center"/>
              </w:trPr>
              <w:tc>
                <w:tcPr>
                  <w:tcW w:w="10245" w:type="dxa"/>
                  <w:hideMark/>
                </w:tcPr>
                <w:p w:rsidR="00A01C42" w:rsidRDefault="00A01C42">
                  <w:pPr>
                    <w:rPr>
                      <w:rFonts w:ascii="Arial" w:eastAsia="Times New Roman" w:hAnsi="Arial" w:cs="Arial"/>
                      <w:color w:val="464646"/>
                      <w:sz w:val="14"/>
                      <w:szCs w:val="14"/>
                      <w:lang w:eastAsia="es-AR"/>
                    </w:rPr>
                  </w:pPr>
                  <w:r>
                    <w:rPr>
                      <w:rFonts w:ascii="Arial" w:eastAsia="Times New Roman" w:hAnsi="Arial" w:cs="Arial"/>
                      <w:b/>
                      <w:bCs/>
                      <w:color w:val="464646"/>
                      <w:sz w:val="14"/>
                      <w:szCs w:val="14"/>
                      <w:u w:val="single"/>
                      <w:lang w:eastAsia="es-AR"/>
                    </w:rPr>
                    <w:t xml:space="preserve">DECRETO Nº 1534/03 </w:t>
                  </w:r>
                </w:p>
                <w:p w:rsidR="00A01C42" w:rsidRDefault="00A01C42">
                  <w:pPr>
                    <w:spacing w:after="240"/>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br/>
                  </w:r>
                  <w:r>
                    <w:rPr>
                      <w:rFonts w:ascii="Arial" w:eastAsia="Times New Roman" w:hAnsi="Arial" w:cs="Arial"/>
                      <w:b/>
                      <w:bCs/>
                      <w:color w:val="464646"/>
                      <w:sz w:val="14"/>
                      <w:szCs w:val="14"/>
                      <w:lang w:eastAsia="es-AR"/>
                    </w:rPr>
                    <w:t>GENERALIDADES:</w:t>
                  </w:r>
                  <w:r>
                    <w:rPr>
                      <w:rFonts w:ascii="Arial" w:eastAsia="Times New Roman" w:hAnsi="Arial" w:cs="Arial"/>
                      <w:color w:val="464646"/>
                      <w:sz w:val="14"/>
                      <w:szCs w:val="14"/>
                      <w:lang w:eastAsia="es-AR"/>
                    </w:rPr>
                    <w:br/>
                    <w:t>FECHA DE EMISIÓN: 22.09.03</w:t>
                  </w:r>
                  <w:r>
                    <w:rPr>
                      <w:rFonts w:ascii="Arial" w:eastAsia="Times New Roman" w:hAnsi="Arial" w:cs="Arial"/>
                      <w:color w:val="464646"/>
                      <w:sz w:val="14"/>
                      <w:szCs w:val="14"/>
                      <w:lang w:eastAsia="es-AR"/>
                    </w:rPr>
                    <w:br/>
                    <w:t>PUBLICACIÓN: B.O. 08.10.03</w:t>
                  </w:r>
                  <w:r>
                    <w:rPr>
                      <w:rFonts w:ascii="Arial" w:eastAsia="Times New Roman" w:hAnsi="Arial" w:cs="Arial"/>
                      <w:color w:val="464646"/>
                      <w:sz w:val="14"/>
                      <w:szCs w:val="14"/>
                      <w:lang w:eastAsia="es-AR"/>
                    </w:rPr>
                    <w:br/>
                    <w:t xml:space="preserve">CANTIDAD DE ARTÍCULOS: </w:t>
                  </w:r>
                  <w:r>
                    <w:rPr>
                      <w:rFonts w:ascii="Arial" w:eastAsia="Times New Roman" w:hAnsi="Arial" w:cs="Arial"/>
                      <w:color w:val="464646"/>
                      <w:sz w:val="14"/>
                      <w:szCs w:val="14"/>
                      <w:lang w:eastAsia="es-AR"/>
                    </w:rPr>
                    <w:br/>
                    <w:t>CANTIDAD DE ANEXOS: 1</w:t>
                  </w:r>
                  <w:r>
                    <w:rPr>
                      <w:rFonts w:ascii="Arial" w:eastAsia="Times New Roman" w:hAnsi="Arial" w:cs="Arial"/>
                      <w:color w:val="464646"/>
                      <w:sz w:val="14"/>
                      <w:szCs w:val="14"/>
                      <w:lang w:eastAsia="es-AR"/>
                    </w:rPr>
                    <w:br/>
                    <w:t>ANEXO I: NORMAS TÉCNICAS PARA LA GENERACIÓN DE OXÍGENO MEDICINAL MEDIANTE LA SEPARACIÓN DEL AIRE POR ADSORCIÓN (PSA)</w:t>
                  </w:r>
                  <w:r>
                    <w:rPr>
                      <w:rFonts w:ascii="Arial" w:eastAsia="Times New Roman" w:hAnsi="Arial" w:cs="Arial"/>
                      <w:color w:val="464646"/>
                      <w:sz w:val="14"/>
                      <w:szCs w:val="14"/>
                      <w:lang w:eastAsia="es-AR"/>
                    </w:rPr>
                    <w:br/>
                  </w:r>
                  <w:r>
                    <w:rPr>
                      <w:rFonts w:ascii="Arial" w:eastAsia="Times New Roman" w:hAnsi="Arial" w:cs="Arial"/>
                      <w:color w:val="464646"/>
                      <w:sz w:val="14"/>
                      <w:szCs w:val="14"/>
                      <w:lang w:eastAsia="es-AR"/>
                    </w:rPr>
                    <w:br/>
                  </w:r>
                </w:p>
                <w:p w:rsidR="00A01C42" w:rsidRDefault="00A01C42">
                  <w:pPr>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t>Córdoba, 22 de setiembre de 2003</w:t>
                  </w:r>
                </w:p>
                <w:p w:rsidR="00A01C42" w:rsidRDefault="00A01C42">
                  <w:pPr>
                    <w:rPr>
                      <w:rFonts w:ascii="Arial" w:eastAsia="Times New Roman" w:hAnsi="Arial" w:cs="Arial"/>
                      <w:color w:val="464646"/>
                      <w:sz w:val="14"/>
                      <w:szCs w:val="14"/>
                      <w:lang w:eastAsia="es-AR"/>
                    </w:rPr>
                  </w:pPr>
                  <w:r>
                    <w:rPr>
                      <w:rFonts w:ascii="Arial" w:eastAsia="Times New Roman" w:hAnsi="Arial" w:cs="Arial"/>
                      <w:b/>
                      <w:bCs/>
                      <w:color w:val="464646"/>
                      <w:sz w:val="14"/>
                      <w:szCs w:val="14"/>
                      <w:lang w:eastAsia="es-AR"/>
                    </w:rPr>
                    <w:t>VISTO:</w:t>
                  </w:r>
                  <w:r>
                    <w:rPr>
                      <w:rFonts w:ascii="Arial" w:eastAsia="Times New Roman" w:hAnsi="Arial" w:cs="Arial"/>
                      <w:color w:val="464646"/>
                      <w:sz w:val="14"/>
                      <w:szCs w:val="14"/>
                      <w:lang w:eastAsia="es-AR"/>
                    </w:rPr>
                    <w:t xml:space="preserve"> El Expediente Nº 0425-110975/03, iniciados con la presentación del Señor Interventor de la Administración Nacional de Medicamentos, Alimentos y Tecnología Médica ( A.N.M.A.T.) dependiente del Ministerio de Salud de la Nación. </w:t>
                  </w:r>
                  <w:r>
                    <w:rPr>
                      <w:rFonts w:ascii="Arial" w:eastAsia="Times New Roman" w:hAnsi="Arial" w:cs="Arial"/>
                      <w:color w:val="464646"/>
                      <w:sz w:val="14"/>
                      <w:szCs w:val="14"/>
                      <w:lang w:eastAsia="es-AR"/>
                    </w:rPr>
                    <w:br/>
                  </w:r>
                  <w:r>
                    <w:rPr>
                      <w:rFonts w:ascii="Arial" w:eastAsia="Times New Roman" w:hAnsi="Arial" w:cs="Arial"/>
                      <w:color w:val="464646"/>
                      <w:sz w:val="14"/>
                      <w:szCs w:val="14"/>
                      <w:lang w:eastAsia="es-AR"/>
                    </w:rPr>
                    <w:br/>
                  </w:r>
                  <w:r>
                    <w:rPr>
                      <w:rFonts w:ascii="Arial" w:eastAsia="Times New Roman" w:hAnsi="Arial" w:cs="Arial"/>
                      <w:b/>
                      <w:bCs/>
                      <w:color w:val="464646"/>
                      <w:sz w:val="14"/>
                      <w:szCs w:val="14"/>
                      <w:lang w:eastAsia="es-AR"/>
                    </w:rPr>
                    <w:t>Y CONSIDERANDO:</w:t>
                  </w:r>
                  <w:r>
                    <w:rPr>
                      <w:rFonts w:ascii="Arial" w:eastAsia="Times New Roman" w:hAnsi="Arial" w:cs="Arial"/>
                      <w:color w:val="464646"/>
                      <w:sz w:val="14"/>
                      <w:szCs w:val="14"/>
                      <w:lang w:eastAsia="es-AR"/>
                    </w:rPr>
                    <w:br/>
                  </w:r>
                  <w:r>
                    <w:rPr>
                      <w:rFonts w:ascii="Arial" w:eastAsia="Times New Roman" w:hAnsi="Arial" w:cs="Arial"/>
                      <w:color w:val="464646"/>
                      <w:sz w:val="14"/>
                      <w:szCs w:val="14"/>
                      <w:lang w:eastAsia="es-AR"/>
                    </w:rPr>
                    <w:br/>
                    <w:t xml:space="preserve">Que el funcionario pone en conocimiento que la Disposición N º 4373/02 del organismo a su cargo aprueba las </w:t>
                  </w:r>
                  <w:r>
                    <w:rPr>
                      <w:rFonts w:ascii="Arial" w:eastAsia="Times New Roman" w:hAnsi="Arial" w:cs="Arial"/>
                      <w:i/>
                      <w:iCs/>
                      <w:color w:val="464646"/>
                      <w:sz w:val="14"/>
                      <w:szCs w:val="14"/>
                      <w:lang w:eastAsia="es-AR"/>
                    </w:rPr>
                    <w:t>“Normas Técnicas para la elaboración de oxígeno medicinal mediante la separación del aire por adsorción - PSA- (Pressure Swing Adsorption)”</w:t>
                  </w:r>
                  <w:r>
                    <w:rPr>
                      <w:rFonts w:ascii="Arial" w:eastAsia="Times New Roman" w:hAnsi="Arial" w:cs="Arial"/>
                      <w:color w:val="464646"/>
                      <w:sz w:val="14"/>
                      <w:szCs w:val="14"/>
                      <w:lang w:eastAsia="es-AR"/>
                    </w:rPr>
                    <w:t xml:space="preserve"> y en el artículo 2º invita a los Gobiernos Provinciales a adherir al régimen establecido; y renovando su compromiso de brindar, a solicitud de las jurisdicciones, el asesoramiento técnico necesario para la verificación del cumplimiento de las normas establecidas en la Disposición citada. </w:t>
                  </w:r>
                  <w:r>
                    <w:rPr>
                      <w:rFonts w:ascii="Arial" w:eastAsia="Times New Roman" w:hAnsi="Arial" w:cs="Arial"/>
                      <w:color w:val="464646"/>
                      <w:sz w:val="14"/>
                      <w:szCs w:val="14"/>
                      <w:lang w:eastAsia="es-AR"/>
                    </w:rPr>
                    <w:br/>
                  </w:r>
                  <w:r>
                    <w:rPr>
                      <w:rFonts w:ascii="Arial" w:eastAsia="Times New Roman" w:hAnsi="Arial" w:cs="Arial"/>
                      <w:color w:val="464646"/>
                      <w:sz w:val="14"/>
                      <w:szCs w:val="14"/>
                      <w:lang w:eastAsia="es-AR"/>
                    </w:rPr>
                    <w:br/>
                    <w:t xml:space="preserve">Que se acompaña a las actuaciones copia de la Disposición del ANMAT y de las Normas Técnicas aprobadas por la misma. </w:t>
                  </w:r>
                  <w:r>
                    <w:rPr>
                      <w:rFonts w:ascii="Arial" w:eastAsia="Times New Roman" w:hAnsi="Arial" w:cs="Arial"/>
                      <w:color w:val="464646"/>
                      <w:sz w:val="14"/>
                      <w:szCs w:val="14"/>
                      <w:lang w:eastAsia="es-AR"/>
                    </w:rPr>
                    <w:br/>
                  </w:r>
                  <w:r>
                    <w:rPr>
                      <w:rFonts w:ascii="Arial" w:eastAsia="Times New Roman" w:hAnsi="Arial" w:cs="Arial"/>
                      <w:color w:val="464646"/>
                      <w:sz w:val="14"/>
                      <w:szCs w:val="14"/>
                      <w:lang w:eastAsia="es-AR"/>
                    </w:rPr>
                    <w:br/>
                    <w:t xml:space="preserve">Que ha tomado intervención el Área de Farmacia Hospitalaria del Ministerio de Salud, dando impulso al trámite de adhesión. </w:t>
                  </w:r>
                  <w:r>
                    <w:rPr>
                      <w:rFonts w:ascii="Arial" w:eastAsia="Times New Roman" w:hAnsi="Arial" w:cs="Arial"/>
                      <w:color w:val="464646"/>
                      <w:sz w:val="14"/>
                      <w:szCs w:val="14"/>
                      <w:lang w:eastAsia="es-AR"/>
                    </w:rPr>
                    <w:br/>
                  </w:r>
                  <w:r>
                    <w:rPr>
                      <w:rFonts w:ascii="Arial" w:eastAsia="Times New Roman" w:hAnsi="Arial" w:cs="Arial"/>
                      <w:color w:val="464646"/>
                      <w:sz w:val="14"/>
                      <w:szCs w:val="14"/>
                      <w:lang w:eastAsia="es-AR"/>
                    </w:rPr>
                    <w:br/>
                    <w:t xml:space="preserve">Por ello, lo dictaminado por el Departamento Jurídico del Ministerio de Salud bajo el Nº 123/03 y por Fiscalía de Estado bajo el Nº 00946/03. </w:t>
                  </w:r>
                  <w:r>
                    <w:rPr>
                      <w:rFonts w:ascii="Arial" w:eastAsia="Times New Roman" w:hAnsi="Arial" w:cs="Arial"/>
                      <w:color w:val="464646"/>
                      <w:sz w:val="14"/>
                      <w:szCs w:val="14"/>
                      <w:lang w:eastAsia="es-AR"/>
                    </w:rPr>
                    <w:br/>
                  </w:r>
                  <w:r>
                    <w:rPr>
                      <w:rFonts w:ascii="Arial" w:eastAsia="Times New Roman" w:hAnsi="Arial" w:cs="Arial"/>
                      <w:color w:val="464646"/>
                      <w:sz w:val="14"/>
                      <w:szCs w:val="14"/>
                      <w:lang w:eastAsia="es-AR"/>
                    </w:rPr>
                    <w:br/>
                    <w:t xml:space="preserve">En uso de las atribuciones conferidas por el Art. 144 de la Constitución Provincial. </w:t>
                  </w:r>
                </w:p>
                <w:p w:rsidR="00A01C42" w:rsidRDefault="00A01C42">
                  <w:pPr>
                    <w:rPr>
                      <w:rFonts w:ascii="Arial" w:eastAsia="Times New Roman" w:hAnsi="Arial" w:cs="Arial"/>
                      <w:color w:val="464646"/>
                      <w:sz w:val="14"/>
                      <w:szCs w:val="14"/>
                      <w:lang w:eastAsia="es-AR"/>
                    </w:rPr>
                  </w:pPr>
                  <w:r>
                    <w:rPr>
                      <w:rFonts w:ascii="Arial" w:eastAsia="Times New Roman" w:hAnsi="Arial" w:cs="Arial"/>
                      <w:b/>
                      <w:bCs/>
                      <w:color w:val="464646"/>
                      <w:sz w:val="14"/>
                      <w:szCs w:val="14"/>
                      <w:lang w:eastAsia="es-AR"/>
                    </w:rPr>
                    <w:t>EL GOBERNADOR DE LA PROVINCIA</w:t>
                  </w:r>
                  <w:r>
                    <w:rPr>
                      <w:rFonts w:ascii="Arial" w:eastAsia="Times New Roman" w:hAnsi="Arial" w:cs="Arial"/>
                      <w:color w:val="464646"/>
                      <w:sz w:val="14"/>
                      <w:szCs w:val="14"/>
                      <w:lang w:eastAsia="es-AR"/>
                    </w:rPr>
                    <w:br/>
                  </w:r>
                  <w:r>
                    <w:rPr>
                      <w:rFonts w:ascii="Arial" w:eastAsia="Times New Roman" w:hAnsi="Arial" w:cs="Arial"/>
                      <w:color w:val="464646"/>
                      <w:sz w:val="14"/>
                      <w:szCs w:val="14"/>
                      <w:lang w:eastAsia="es-AR"/>
                    </w:rPr>
                    <w:br/>
                  </w:r>
                  <w:r>
                    <w:rPr>
                      <w:rFonts w:ascii="Arial" w:eastAsia="Times New Roman" w:hAnsi="Arial" w:cs="Arial"/>
                      <w:b/>
                      <w:bCs/>
                      <w:color w:val="464646"/>
                      <w:sz w:val="14"/>
                      <w:szCs w:val="14"/>
                      <w:lang w:eastAsia="es-AR"/>
                    </w:rPr>
                    <w:t xml:space="preserve">D E C R E T A </w:t>
                  </w:r>
                </w:p>
                <w:p w:rsidR="00A01C42" w:rsidRDefault="00A01C42">
                  <w:pPr>
                    <w:rPr>
                      <w:rFonts w:ascii="Arial" w:eastAsia="Times New Roman" w:hAnsi="Arial" w:cs="Arial"/>
                      <w:color w:val="464646"/>
                      <w:sz w:val="14"/>
                      <w:szCs w:val="14"/>
                      <w:lang w:eastAsia="es-AR"/>
                    </w:rPr>
                  </w:pPr>
                  <w:r>
                    <w:rPr>
                      <w:rFonts w:ascii="Arial" w:eastAsia="Times New Roman" w:hAnsi="Arial" w:cs="Arial"/>
                      <w:b/>
                      <w:bCs/>
                      <w:color w:val="464646"/>
                      <w:sz w:val="14"/>
                      <w:szCs w:val="14"/>
                      <w:lang w:eastAsia="es-AR"/>
                    </w:rPr>
                    <w:t>Artículo 1º.- ADHERIR</w:t>
                  </w:r>
                  <w:r>
                    <w:rPr>
                      <w:rFonts w:ascii="Arial" w:eastAsia="Times New Roman" w:hAnsi="Arial" w:cs="Arial"/>
                      <w:color w:val="464646"/>
                      <w:sz w:val="14"/>
                      <w:szCs w:val="14"/>
                      <w:lang w:eastAsia="es-AR"/>
                    </w:rPr>
                    <w:t xml:space="preserve"> a partir de la fecha del presente Decreto, a las </w:t>
                  </w:r>
                  <w:r>
                    <w:rPr>
                      <w:rFonts w:ascii="Arial" w:eastAsia="Times New Roman" w:hAnsi="Arial" w:cs="Arial"/>
                      <w:i/>
                      <w:iCs/>
                      <w:color w:val="464646"/>
                      <w:sz w:val="14"/>
                      <w:szCs w:val="14"/>
                      <w:lang w:eastAsia="es-AR"/>
                    </w:rPr>
                    <w:t xml:space="preserve">“Normas Técnicas para la elaboración de oxígeno medicinal mediante la separación del aire por adsorción (PSA)- (Pressure Swing Adsorptión)” </w:t>
                  </w:r>
                  <w:r>
                    <w:rPr>
                      <w:rFonts w:ascii="Arial" w:eastAsia="Times New Roman" w:hAnsi="Arial" w:cs="Arial"/>
                      <w:color w:val="464646"/>
                      <w:sz w:val="14"/>
                      <w:szCs w:val="14"/>
                      <w:lang w:eastAsia="es-AR"/>
                    </w:rPr>
                    <w:t xml:space="preserve">aprobadas por Disposición Nº 4373/02 de la </w:t>
                  </w:r>
                  <w:r>
                    <w:rPr>
                      <w:rFonts w:ascii="Arial" w:eastAsia="Times New Roman" w:hAnsi="Arial" w:cs="Arial"/>
                      <w:b/>
                      <w:bCs/>
                      <w:color w:val="464646"/>
                      <w:sz w:val="14"/>
                      <w:szCs w:val="14"/>
                      <w:lang w:eastAsia="es-AR"/>
                    </w:rPr>
                    <w:t>ADMINISTRACIÓN NACIONAL DE MEDICAMENTOS, ALIMENTOS Y TECNOLOGÍA MÉDICA</w:t>
                  </w:r>
                  <w:r>
                    <w:rPr>
                      <w:rFonts w:ascii="Arial" w:eastAsia="Times New Roman" w:hAnsi="Arial" w:cs="Arial"/>
                      <w:color w:val="464646"/>
                      <w:sz w:val="14"/>
                      <w:szCs w:val="14"/>
                      <w:lang w:eastAsia="es-AR"/>
                    </w:rPr>
                    <w:t xml:space="preserve"> </w:t>
                  </w:r>
                  <w:r>
                    <w:rPr>
                      <w:rFonts w:ascii="Arial" w:eastAsia="Times New Roman" w:hAnsi="Arial" w:cs="Arial"/>
                      <w:b/>
                      <w:bCs/>
                      <w:color w:val="464646"/>
                      <w:sz w:val="14"/>
                      <w:szCs w:val="14"/>
                      <w:lang w:eastAsia="es-AR"/>
                    </w:rPr>
                    <w:t xml:space="preserve">(A.N.M.A.T.) </w:t>
                  </w:r>
                  <w:r>
                    <w:rPr>
                      <w:rFonts w:ascii="Arial" w:eastAsia="Times New Roman" w:hAnsi="Arial" w:cs="Arial"/>
                      <w:color w:val="464646"/>
                      <w:sz w:val="14"/>
                      <w:szCs w:val="14"/>
                      <w:lang w:eastAsia="es-AR"/>
                    </w:rPr>
                    <w:t xml:space="preserve">dependiente del Ministerio de Salud de la Nación, las que constan en el Anexo I que compuesto de CUATRO (4) fojas forman parte del presente decreto. </w:t>
                  </w:r>
                  <w:r>
                    <w:rPr>
                      <w:rFonts w:ascii="Arial" w:eastAsia="Times New Roman" w:hAnsi="Arial" w:cs="Arial"/>
                      <w:color w:val="464646"/>
                      <w:sz w:val="14"/>
                      <w:szCs w:val="14"/>
                      <w:lang w:eastAsia="es-AR"/>
                    </w:rPr>
                    <w:br/>
                  </w:r>
                  <w:r>
                    <w:rPr>
                      <w:rFonts w:ascii="Arial" w:eastAsia="Times New Roman" w:hAnsi="Arial" w:cs="Arial"/>
                      <w:color w:val="464646"/>
                      <w:sz w:val="14"/>
                      <w:szCs w:val="14"/>
                      <w:lang w:eastAsia="es-AR"/>
                    </w:rPr>
                    <w:br/>
                  </w:r>
                  <w:r>
                    <w:rPr>
                      <w:rFonts w:ascii="Arial" w:eastAsia="Times New Roman" w:hAnsi="Arial" w:cs="Arial"/>
                      <w:b/>
                      <w:bCs/>
                      <w:color w:val="464646"/>
                      <w:sz w:val="14"/>
                      <w:szCs w:val="14"/>
                      <w:lang w:eastAsia="es-AR"/>
                    </w:rPr>
                    <w:t>Artículo 2º.-</w:t>
                  </w:r>
                  <w:r>
                    <w:rPr>
                      <w:rFonts w:ascii="Arial" w:eastAsia="Times New Roman" w:hAnsi="Arial" w:cs="Arial"/>
                      <w:color w:val="464646"/>
                      <w:sz w:val="14"/>
                      <w:szCs w:val="14"/>
                      <w:lang w:eastAsia="es-AR"/>
                    </w:rPr>
                    <w:t xml:space="preserve"> </w:t>
                  </w:r>
                  <w:r>
                    <w:rPr>
                      <w:rFonts w:ascii="Arial" w:eastAsia="Times New Roman" w:hAnsi="Arial" w:cs="Arial"/>
                      <w:b/>
                      <w:bCs/>
                      <w:color w:val="464646"/>
                      <w:sz w:val="14"/>
                      <w:szCs w:val="14"/>
                      <w:lang w:eastAsia="es-AR"/>
                    </w:rPr>
                    <w:t>EL</w:t>
                  </w:r>
                  <w:r>
                    <w:rPr>
                      <w:rFonts w:ascii="Arial" w:eastAsia="Times New Roman" w:hAnsi="Arial" w:cs="Arial"/>
                      <w:color w:val="464646"/>
                      <w:sz w:val="14"/>
                      <w:szCs w:val="14"/>
                      <w:lang w:eastAsia="es-AR"/>
                    </w:rPr>
                    <w:t xml:space="preserve"> presente decreto será refrendado por los Señores Ministro de</w:t>
                  </w:r>
                  <w:r>
                    <w:rPr>
                      <w:rFonts w:ascii="Arial" w:eastAsia="Times New Roman" w:hAnsi="Arial" w:cs="Arial"/>
                      <w:b/>
                      <w:bCs/>
                      <w:color w:val="464646"/>
                      <w:sz w:val="14"/>
                      <w:szCs w:val="14"/>
                      <w:lang w:eastAsia="es-AR"/>
                    </w:rPr>
                    <w:t xml:space="preserve"> </w:t>
                  </w:r>
                  <w:r>
                    <w:rPr>
                      <w:rFonts w:ascii="Arial" w:eastAsia="Times New Roman" w:hAnsi="Arial" w:cs="Arial"/>
                      <w:color w:val="464646"/>
                      <w:sz w:val="14"/>
                      <w:szCs w:val="14"/>
                      <w:lang w:eastAsia="es-AR"/>
                    </w:rPr>
                    <w:t>Salud y Fiscal de Estado.</w:t>
                  </w:r>
                  <w:r>
                    <w:rPr>
                      <w:rFonts w:ascii="Arial" w:eastAsia="Times New Roman" w:hAnsi="Arial" w:cs="Arial"/>
                      <w:color w:val="464646"/>
                      <w:sz w:val="14"/>
                      <w:szCs w:val="14"/>
                      <w:lang w:eastAsia="es-AR"/>
                    </w:rPr>
                    <w:br/>
                  </w:r>
                  <w:r>
                    <w:rPr>
                      <w:rFonts w:ascii="Arial" w:eastAsia="Times New Roman" w:hAnsi="Arial" w:cs="Arial"/>
                      <w:color w:val="464646"/>
                      <w:sz w:val="14"/>
                      <w:szCs w:val="14"/>
                      <w:lang w:eastAsia="es-AR"/>
                    </w:rPr>
                    <w:br/>
                  </w:r>
                  <w:r>
                    <w:rPr>
                      <w:rFonts w:ascii="Arial" w:eastAsia="Times New Roman" w:hAnsi="Arial" w:cs="Arial"/>
                      <w:color w:val="464646"/>
                      <w:sz w:val="14"/>
                      <w:szCs w:val="14"/>
                      <w:lang w:eastAsia="es-AR"/>
                    </w:rPr>
                    <w:br/>
                  </w:r>
                  <w:r>
                    <w:rPr>
                      <w:rFonts w:ascii="Arial" w:eastAsia="Times New Roman" w:hAnsi="Arial" w:cs="Arial"/>
                      <w:b/>
                      <w:bCs/>
                      <w:color w:val="464646"/>
                      <w:sz w:val="14"/>
                      <w:szCs w:val="14"/>
                      <w:lang w:eastAsia="es-AR"/>
                    </w:rPr>
                    <w:t>Artículo 3º.- PROTOCOLÍCESE</w:t>
                  </w:r>
                  <w:r>
                    <w:rPr>
                      <w:rFonts w:ascii="Arial" w:eastAsia="Times New Roman" w:hAnsi="Arial" w:cs="Arial"/>
                      <w:color w:val="464646"/>
                      <w:sz w:val="14"/>
                      <w:szCs w:val="14"/>
                      <w:lang w:eastAsia="es-AR"/>
                    </w:rPr>
                    <w:t xml:space="preserve"> , comuníquese, publíquese en el Boletín Oficial y archívese.</w:t>
                  </w:r>
                  <w:r>
                    <w:rPr>
                      <w:rFonts w:ascii="Arial" w:eastAsia="Times New Roman" w:hAnsi="Arial" w:cs="Arial"/>
                      <w:color w:val="464646"/>
                      <w:sz w:val="14"/>
                      <w:szCs w:val="14"/>
                      <w:lang w:eastAsia="es-AR"/>
                    </w:rPr>
                    <w:br/>
                  </w:r>
                  <w:r>
                    <w:rPr>
                      <w:rFonts w:ascii="Arial" w:eastAsia="Times New Roman" w:hAnsi="Arial" w:cs="Arial"/>
                      <w:color w:val="464646"/>
                      <w:sz w:val="14"/>
                      <w:szCs w:val="14"/>
                      <w:lang w:eastAsia="es-AR"/>
                    </w:rPr>
                    <w:br/>
                    <w:t xml:space="preserve">DE LA SOTA-CHUIT-LÓPEZ AMAYA </w:t>
                  </w:r>
                </w:p>
                <w:p w:rsidR="00A01C42" w:rsidRDefault="00A01C42" w:rsidP="00A01C42">
                  <w:pPr>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lastRenderedPageBreak/>
                    <w:pict>
                      <v:rect id="_x0000_i1025" style="width:441.9pt;height:1.5pt" o:hrstd="t" o:hr="t" fillcolor="#a0a0a0" stroked="f"/>
                    </w:pict>
                  </w:r>
                </w:p>
                <w:p w:rsidR="00A01C42" w:rsidRDefault="00A01C42">
                  <w:pPr>
                    <w:rPr>
                      <w:rFonts w:ascii="Arial" w:eastAsia="Times New Roman" w:hAnsi="Arial" w:cs="Arial"/>
                      <w:color w:val="464646"/>
                      <w:sz w:val="14"/>
                      <w:szCs w:val="14"/>
                      <w:lang w:eastAsia="es-AR"/>
                    </w:rPr>
                  </w:pPr>
                  <w:r>
                    <w:rPr>
                      <w:rFonts w:ascii="Arial" w:eastAsia="Times New Roman" w:hAnsi="Arial" w:cs="Arial"/>
                      <w:b/>
                      <w:bCs/>
                      <w:color w:val="464646"/>
                      <w:sz w:val="14"/>
                      <w:szCs w:val="14"/>
                      <w:lang w:eastAsia="es-AR"/>
                    </w:rPr>
                    <w:t>ANEXO I AL DECRETO Nº 1534/03</w:t>
                  </w:r>
                  <w:r>
                    <w:rPr>
                      <w:rFonts w:ascii="Arial" w:eastAsia="Times New Roman" w:hAnsi="Arial" w:cs="Arial"/>
                      <w:color w:val="464646"/>
                      <w:sz w:val="14"/>
                      <w:szCs w:val="14"/>
                      <w:lang w:eastAsia="es-AR"/>
                    </w:rPr>
                    <w:t xml:space="preserve"> </w:t>
                  </w:r>
                  <w:r>
                    <w:rPr>
                      <w:rFonts w:ascii="Arial" w:eastAsia="Times New Roman" w:hAnsi="Arial" w:cs="Arial"/>
                      <w:color w:val="464646"/>
                      <w:sz w:val="14"/>
                      <w:szCs w:val="14"/>
                      <w:lang w:eastAsia="es-AR"/>
                    </w:rPr>
                    <w:br/>
                  </w:r>
                  <w:r>
                    <w:rPr>
                      <w:rFonts w:ascii="Arial" w:eastAsia="Times New Roman" w:hAnsi="Arial" w:cs="Arial"/>
                      <w:color w:val="464646"/>
                      <w:sz w:val="14"/>
                      <w:szCs w:val="14"/>
                      <w:lang w:eastAsia="es-AR"/>
                    </w:rPr>
                    <w:br/>
                  </w:r>
                  <w:r>
                    <w:rPr>
                      <w:rFonts w:ascii="Arial" w:eastAsia="Times New Roman" w:hAnsi="Arial" w:cs="Arial"/>
                      <w:b/>
                      <w:bCs/>
                      <w:color w:val="464646"/>
                      <w:sz w:val="14"/>
                      <w:szCs w:val="14"/>
                      <w:lang w:eastAsia="es-AR"/>
                    </w:rPr>
                    <w:t xml:space="preserve">NORMAS TÉCNICAS PARA LA GENERACIÓN DE OXÍGENO MEDICINAL MEDIANTE LA SEPARACIÓN DEL AIRE POR ADSORCIÓN (PSA) </w:t>
                  </w:r>
                </w:p>
                <w:p w:rsidR="00A01C42" w:rsidRDefault="00A01C42">
                  <w:pPr>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br/>
                  </w:r>
                  <w:r>
                    <w:rPr>
                      <w:rFonts w:ascii="Arial" w:eastAsia="Times New Roman" w:hAnsi="Arial" w:cs="Arial"/>
                      <w:b/>
                      <w:bCs/>
                      <w:color w:val="464646"/>
                      <w:sz w:val="14"/>
                      <w:szCs w:val="14"/>
                      <w:lang w:eastAsia="es-AR"/>
                    </w:rPr>
                    <w:t>1 -EXIGENCIAS GENERALES:</w:t>
                  </w:r>
                  <w:r>
                    <w:rPr>
                      <w:rFonts w:ascii="Arial" w:eastAsia="Times New Roman" w:hAnsi="Arial" w:cs="Arial"/>
                      <w:color w:val="464646"/>
                      <w:sz w:val="14"/>
                      <w:szCs w:val="14"/>
                      <w:lang w:eastAsia="es-AR"/>
                    </w:rPr>
                    <w:br/>
                    <w:t>1.1.- Las plantas generadoras deberán contar:</w:t>
                  </w:r>
                  <w:r>
                    <w:rPr>
                      <w:rFonts w:ascii="Arial" w:eastAsia="Times New Roman" w:hAnsi="Arial" w:cs="Arial"/>
                      <w:color w:val="464646"/>
                      <w:sz w:val="14"/>
                      <w:szCs w:val="14"/>
                      <w:lang w:eastAsia="es-AR"/>
                    </w:rPr>
                    <w:br/>
                    <w:t xml:space="preserve">Con un Director Técnico Farmacéutico responsable que deberá conocer el proceso de generación y fraccionamiento, la manipulación de cilindros, el mantenimiento preventivo y correctivo de la planta y el control del gas oxígeno medicinal producto de la separación del aire por adsorción. Con el personal necesario con formación técnica adecuada. Todo el personal conocerá las Buenas Prácticas de Fabricación y Control para medicamentos y las específicas para el gas oxígeno medicinal generado por este proceso, y será consciente de los aspectos críticos y de los riesgos potenciales involucrados. </w:t>
                  </w:r>
                  <w:r>
                    <w:rPr>
                      <w:rFonts w:ascii="Arial" w:eastAsia="Times New Roman" w:hAnsi="Arial" w:cs="Arial"/>
                      <w:color w:val="464646"/>
                      <w:sz w:val="14"/>
                      <w:szCs w:val="14"/>
                      <w:lang w:eastAsia="es-AR"/>
                    </w:rPr>
                    <w:br/>
                    <w:t xml:space="preserve">1.2.- El Gas Oxígeno Medicinal producto de la separación del aire por adsorción deberá cumplir con las especificaciones técnicas de calidad exigidas en la Farmacopea Argentina vigente y los requerimientos establecidos en las presentes normas técnicas. </w:t>
                  </w:r>
                  <w:r>
                    <w:rPr>
                      <w:rFonts w:ascii="Arial" w:eastAsia="Times New Roman" w:hAnsi="Arial" w:cs="Arial"/>
                      <w:color w:val="464646"/>
                      <w:sz w:val="14"/>
                      <w:szCs w:val="14"/>
                      <w:lang w:eastAsia="es-AR"/>
                    </w:rPr>
                    <w:br/>
                    <w:t xml:space="preserve">1.3.- Los envases y conductos utilizados para la generación, fraccionamiento y distribución del gas oxígeno medicinal producto de la separación del aire por adsorción serán adecuados al fin de que destinen y no afectarán la calidad y/o estabilidad del contenido, debiendo cumplir con las normas de seguridad que se apliquen. </w:t>
                  </w:r>
                  <w:r>
                    <w:rPr>
                      <w:rFonts w:ascii="Arial" w:eastAsia="Times New Roman" w:hAnsi="Arial" w:cs="Arial"/>
                      <w:color w:val="464646"/>
                      <w:sz w:val="14"/>
                      <w:szCs w:val="14"/>
                      <w:lang w:eastAsia="es-AR"/>
                    </w:rPr>
                    <w:br/>
                  </w:r>
                  <w:r>
                    <w:rPr>
                      <w:rFonts w:ascii="Arial" w:eastAsia="Times New Roman" w:hAnsi="Arial" w:cs="Arial"/>
                      <w:color w:val="464646"/>
                      <w:sz w:val="14"/>
                      <w:szCs w:val="14"/>
                      <w:lang w:eastAsia="es-AR"/>
                    </w:rPr>
                    <w:br/>
                  </w:r>
                  <w:r>
                    <w:rPr>
                      <w:rFonts w:ascii="Arial" w:eastAsia="Times New Roman" w:hAnsi="Arial" w:cs="Arial"/>
                      <w:b/>
                      <w:bCs/>
                      <w:color w:val="464646"/>
                      <w:sz w:val="14"/>
                      <w:szCs w:val="14"/>
                      <w:lang w:eastAsia="es-AR"/>
                    </w:rPr>
                    <w:t>2- REQUISITOS DE INSTALACIÓN Y EQUIPOS:</w:t>
                  </w:r>
                  <w:r>
                    <w:rPr>
                      <w:rFonts w:ascii="Arial" w:eastAsia="Times New Roman" w:hAnsi="Arial" w:cs="Arial"/>
                      <w:color w:val="464646"/>
                      <w:sz w:val="14"/>
                      <w:szCs w:val="14"/>
                      <w:lang w:eastAsia="es-AR"/>
                    </w:rPr>
                    <w:br/>
                    <w:t xml:space="preserve">2.1.- Previo a su instalación se deberá obligatoriamente realizar y documentar un estudio ambiental para determinar la viabilidad de la instalación. </w:t>
                  </w:r>
                  <w:r>
                    <w:rPr>
                      <w:rFonts w:ascii="Arial" w:eastAsia="Times New Roman" w:hAnsi="Arial" w:cs="Arial"/>
                      <w:color w:val="464646"/>
                      <w:sz w:val="14"/>
                      <w:szCs w:val="14"/>
                      <w:lang w:eastAsia="es-AR"/>
                    </w:rPr>
                    <w:br/>
                    <w:t xml:space="preserve">2.2.- Las plantas generadoras estarán ubicadas dentro del predio adecuado para generar y proveer a través de cilindros el gas oxígeno medicinal producto de la separación del aire por adsorción, mediante líneas de alimentación exclusivas para este producto, debidamente identificadas. </w:t>
                  </w:r>
                  <w:r>
                    <w:rPr>
                      <w:rFonts w:ascii="Arial" w:eastAsia="Times New Roman" w:hAnsi="Arial" w:cs="Arial"/>
                      <w:color w:val="464646"/>
                      <w:sz w:val="14"/>
                      <w:szCs w:val="14"/>
                      <w:lang w:eastAsia="es-AR"/>
                    </w:rPr>
                    <w:br/>
                    <w:t xml:space="preserve">2.3.- El local a ser utilizado para la instalación de la Planta, será de uso exclusivo, construido de materiales que cumplan con las normas exigidas por la autoridad competente, previéndose alrededor del equipo, sistemas de recolección de líquidos de drenados. </w:t>
                  </w:r>
                  <w:r>
                    <w:rPr>
                      <w:rFonts w:ascii="Arial" w:eastAsia="Times New Roman" w:hAnsi="Arial" w:cs="Arial"/>
                      <w:color w:val="464646"/>
                      <w:sz w:val="14"/>
                      <w:szCs w:val="14"/>
                      <w:lang w:eastAsia="es-AR"/>
                    </w:rPr>
                    <w:br/>
                    <w:t xml:space="preserve">La ventilación e higiene deberán estar plenamente garantizadas; la ubicación de la toma de aire deberá estar resguardada de contaminantes incluyendo el polvo. El venteo del Nitrógeno separado será hacia el exterior. Las dimensiones del local deberán permitir la realización de todas las actividades involucradas y el libre acceso a las distintas partes de la planta. </w:t>
                  </w:r>
                  <w:r>
                    <w:rPr>
                      <w:rFonts w:ascii="Arial" w:eastAsia="Times New Roman" w:hAnsi="Arial" w:cs="Arial"/>
                      <w:color w:val="464646"/>
                      <w:sz w:val="14"/>
                      <w:szCs w:val="14"/>
                      <w:lang w:eastAsia="es-AR"/>
                    </w:rPr>
                    <w:br/>
                    <w:t xml:space="preserve">2.4.- La generación del gas oxígeno medicinal producto de la separación del aire por adsorción, se desarrollará en un circuito cerrado, diseñado y construido específicamente a tal efecto, con monitoreo continuo del nivel de calidad (pureza e impurezas) durante el proceso. En este sistema de obtención del gas oxígeno medicinal producto de la separación del aire por adsorción, es obligatorio el envasado en cilindros, el loteo y el control de calidad del producto previo a su uso. </w:t>
                  </w:r>
                  <w:r>
                    <w:rPr>
                      <w:rFonts w:ascii="Arial" w:eastAsia="Times New Roman" w:hAnsi="Arial" w:cs="Arial"/>
                      <w:color w:val="464646"/>
                      <w:sz w:val="14"/>
                      <w:szCs w:val="14"/>
                      <w:lang w:eastAsia="es-AR"/>
                    </w:rPr>
                    <w:br/>
                    <w:t xml:space="preserve">2.5.- Las rampas de llenado de gas oxígeno medicinal, producto de la separación del aire por adsorción serán exclusivos para el llenado de este gas. La limpieza y la purgo del equipo de llenado y de los conductos involucrados seguirán procedimientos escritos y se controlarán para demostrar la ausencia de agentes de limpieza u otros contaminantes antes de permitir el uso de las tuberías de conducción. </w:t>
                  </w:r>
                  <w:r>
                    <w:rPr>
                      <w:rFonts w:ascii="Arial" w:eastAsia="Times New Roman" w:hAnsi="Arial" w:cs="Arial"/>
                      <w:color w:val="464646"/>
                      <w:sz w:val="14"/>
                      <w:szCs w:val="14"/>
                      <w:lang w:eastAsia="es-AR"/>
                    </w:rPr>
                    <w:br/>
                    <w:t xml:space="preserve">2.6.- El Laboratorio de Control de Calidad deberá contar con recinto calificado de las siguientes características: </w:t>
                  </w:r>
                </w:p>
                <w:p w:rsidR="00A01C42" w:rsidRDefault="00A01C42" w:rsidP="00A01C42">
                  <w:pPr>
                    <w:numPr>
                      <w:ilvl w:val="0"/>
                      <w:numId w:val="1"/>
                    </w:numPr>
                    <w:spacing w:before="100" w:beforeAutospacing="1" w:after="100" w:afterAutospacing="1" w:line="240" w:lineRule="auto"/>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t xml:space="preserve">Infraestructura adecuada para tal fin. </w:t>
                  </w:r>
                </w:p>
                <w:p w:rsidR="00A01C42" w:rsidRDefault="00A01C42" w:rsidP="00A01C42">
                  <w:pPr>
                    <w:numPr>
                      <w:ilvl w:val="0"/>
                      <w:numId w:val="1"/>
                    </w:numPr>
                    <w:spacing w:before="100" w:beforeAutospacing="1" w:after="100" w:afterAutospacing="1" w:line="240" w:lineRule="auto"/>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t xml:space="preserve">Ductos con caudalímetro, filtro, manómetro, regulador, válvula etc. para toma e introducción de muestras gaseosas y de gases patrón certificados en el instrumental. </w:t>
                  </w:r>
                </w:p>
                <w:p w:rsidR="00A01C42" w:rsidRDefault="00A01C42" w:rsidP="00A01C42">
                  <w:pPr>
                    <w:numPr>
                      <w:ilvl w:val="0"/>
                      <w:numId w:val="1"/>
                    </w:numPr>
                    <w:spacing w:before="100" w:beforeAutospacing="1" w:after="100" w:afterAutospacing="1" w:line="240" w:lineRule="auto"/>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t xml:space="preserve">Caseta de gases externa adyacente para el almacenamiento y conexión de los cilindros de muestras y gases patrón certificados. </w:t>
                  </w:r>
                </w:p>
                <w:p w:rsidR="00A01C42" w:rsidRDefault="00A01C42" w:rsidP="00A01C42">
                  <w:pPr>
                    <w:numPr>
                      <w:ilvl w:val="0"/>
                      <w:numId w:val="1"/>
                    </w:numPr>
                    <w:spacing w:before="100" w:beforeAutospacing="1" w:after="100" w:afterAutospacing="1" w:line="240" w:lineRule="auto"/>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t xml:space="preserve">Los reactivos y el instrumental adecuados. </w:t>
                  </w:r>
                </w:p>
                <w:p w:rsidR="00A01C42" w:rsidRDefault="00A01C42" w:rsidP="00A01C42">
                  <w:pPr>
                    <w:numPr>
                      <w:ilvl w:val="0"/>
                      <w:numId w:val="1"/>
                    </w:numPr>
                    <w:spacing w:before="100" w:beforeAutospacing="1" w:after="100" w:afterAutospacing="1" w:line="240" w:lineRule="auto"/>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t xml:space="preserve">Los gases Patrón Certificados correspondientes para la calibración del instrumental. </w:t>
                  </w:r>
                  <w:r>
                    <w:rPr>
                      <w:rFonts w:ascii="Arial" w:eastAsia="Times New Roman" w:hAnsi="Arial" w:cs="Arial"/>
                      <w:color w:val="464646"/>
                      <w:sz w:val="14"/>
                      <w:szCs w:val="14"/>
                      <w:lang w:eastAsia="es-AR"/>
                    </w:rPr>
                    <w:br/>
                  </w:r>
                  <w:r>
                    <w:rPr>
                      <w:rFonts w:ascii="Arial" w:eastAsia="Times New Roman" w:hAnsi="Arial" w:cs="Arial"/>
                      <w:b/>
                      <w:bCs/>
                      <w:color w:val="464646"/>
                      <w:sz w:val="14"/>
                      <w:szCs w:val="14"/>
                      <w:lang w:eastAsia="es-AR"/>
                    </w:rPr>
                    <w:t>3. -OPERACIONES PRODUCTIVAS:</w:t>
                  </w:r>
                  <w:r>
                    <w:rPr>
                      <w:rFonts w:ascii="Arial" w:eastAsia="Times New Roman" w:hAnsi="Arial" w:cs="Arial"/>
                      <w:color w:val="464646"/>
                      <w:sz w:val="14"/>
                      <w:szCs w:val="14"/>
                      <w:lang w:eastAsia="es-AR"/>
                    </w:rPr>
                    <w:br/>
                    <w:t xml:space="preserve">En los cilindros nuevos, así como en los que son sometidos a revisiones periódicas (prueba hidráulica) deberá realizarse un control de su interior. Antes del llenado deben realizarse las siguientes operaciones de control: </w:t>
                  </w:r>
                  <w:r>
                    <w:rPr>
                      <w:rFonts w:ascii="Arial" w:eastAsia="Times New Roman" w:hAnsi="Arial" w:cs="Arial"/>
                      <w:color w:val="464646"/>
                      <w:sz w:val="14"/>
                      <w:szCs w:val="14"/>
                      <w:lang w:eastAsia="es-AR"/>
                    </w:rPr>
                    <w:br/>
                    <w:t xml:space="preserve">3.1.- Inspección visual del aspecto exterior de cada válvula y del cilindro para descartar deformaciones, quemaduras u otros daños, y la presencia de aceite o grasa. </w:t>
                  </w:r>
                  <w:r>
                    <w:rPr>
                      <w:rFonts w:ascii="Arial" w:eastAsia="Times New Roman" w:hAnsi="Arial" w:cs="Arial"/>
                      <w:color w:val="464646"/>
                      <w:sz w:val="14"/>
                      <w:szCs w:val="14"/>
                      <w:lang w:eastAsia="es-AR"/>
                    </w:rPr>
                    <w:br/>
                    <w:t>3.2.- Ausencia de líquido por inversión del cilindro.</w:t>
                  </w:r>
                  <w:r>
                    <w:rPr>
                      <w:rFonts w:ascii="Arial" w:eastAsia="Times New Roman" w:hAnsi="Arial" w:cs="Arial"/>
                      <w:color w:val="464646"/>
                      <w:sz w:val="14"/>
                      <w:szCs w:val="14"/>
                      <w:lang w:eastAsia="es-AR"/>
                    </w:rPr>
                    <w:br/>
                    <w:t xml:space="preserve">3.3.-Verificar que la válvula de conexión de los cilindros corresponde a Oxígeno Medicinal. </w:t>
                  </w:r>
                  <w:r>
                    <w:rPr>
                      <w:rFonts w:ascii="Arial" w:eastAsia="Times New Roman" w:hAnsi="Arial" w:cs="Arial"/>
                      <w:color w:val="464646"/>
                      <w:sz w:val="14"/>
                      <w:szCs w:val="14"/>
                      <w:lang w:eastAsia="es-AR"/>
                    </w:rPr>
                    <w:br/>
                    <w:t xml:space="preserve">3.4.- Comprobar que las pruebas periódicas, hidráulicas y otras se efectúen con la perioricidad indicada conforme a normas. La fecha de la última prueba periódica realizada estará indicada en cada recipiente. </w:t>
                  </w:r>
                  <w:r>
                    <w:rPr>
                      <w:rFonts w:ascii="Arial" w:eastAsia="Times New Roman" w:hAnsi="Arial" w:cs="Arial"/>
                      <w:color w:val="464646"/>
                      <w:sz w:val="14"/>
                      <w:szCs w:val="14"/>
                      <w:lang w:eastAsia="es-AR"/>
                    </w:rPr>
                    <w:br/>
                    <w:t xml:space="preserve">3.5.-Verificar que cada cilindro esté correctamente rotulado y pintado de color blanco. </w:t>
                  </w:r>
                  <w:r>
                    <w:rPr>
                      <w:rFonts w:ascii="Arial" w:eastAsia="Times New Roman" w:hAnsi="Arial" w:cs="Arial"/>
                      <w:color w:val="464646"/>
                      <w:sz w:val="14"/>
                      <w:szCs w:val="14"/>
                      <w:lang w:eastAsia="es-AR"/>
                    </w:rPr>
                    <w:br/>
                    <w:t xml:space="preserve">3.6.- Los cilindros deberán llenarse de acuerdo a un procedimiento escrito, en el que al menos se incluirán las operaciones siguientes: </w:t>
                  </w:r>
                </w:p>
                <w:p w:rsidR="00A01C42" w:rsidRDefault="00A01C42" w:rsidP="00A01C42">
                  <w:pPr>
                    <w:numPr>
                      <w:ilvl w:val="1"/>
                      <w:numId w:val="2"/>
                    </w:numPr>
                    <w:spacing w:before="100" w:beforeAutospacing="1" w:after="100" w:afterAutospacing="1" w:line="240" w:lineRule="auto"/>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t xml:space="preserve">3.6.1.- Eliminación del gas oxígeno medicinal producto de la separación del aire por adsorción, residual contenido (Venteo) </w:t>
                  </w:r>
                </w:p>
                <w:p w:rsidR="00A01C42" w:rsidRDefault="00A01C42" w:rsidP="00A01C42">
                  <w:pPr>
                    <w:numPr>
                      <w:ilvl w:val="1"/>
                      <w:numId w:val="2"/>
                    </w:numPr>
                    <w:spacing w:before="100" w:beforeAutospacing="1" w:after="100" w:afterAutospacing="1" w:line="240" w:lineRule="auto"/>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t xml:space="preserve">3.6.2.- Vaciado o evacuación del cilindro a una presión absoluta inferior a 150 mbar. (equivalente a un grado de vacío de 25 pulgadas de mercurio) </w:t>
                  </w:r>
                  <w:r>
                    <w:rPr>
                      <w:rFonts w:ascii="Arial" w:eastAsia="Times New Roman" w:hAnsi="Arial" w:cs="Arial"/>
                      <w:color w:val="464646"/>
                      <w:sz w:val="14"/>
                      <w:szCs w:val="14"/>
                      <w:lang w:eastAsia="es-AR"/>
                    </w:rPr>
                    <w:br/>
                    <w:t xml:space="preserve">Se realizarán los controles necesarios para garantizar el llenado de los cilindros y se comprobará cada cilindro lleno con el fin de descartar fugas, utilizando un método apropiado como por ejemplo, la aplicación de una solución de detección de fugas en la zona de la válvula. </w:t>
                  </w:r>
                  <w:r>
                    <w:rPr>
                      <w:rFonts w:ascii="Arial" w:eastAsia="Times New Roman" w:hAnsi="Arial" w:cs="Arial"/>
                      <w:color w:val="464646"/>
                      <w:sz w:val="14"/>
                      <w:szCs w:val="14"/>
                      <w:lang w:eastAsia="es-AR"/>
                    </w:rPr>
                    <w:br/>
                  </w:r>
                  <w:r>
                    <w:rPr>
                      <w:rFonts w:ascii="Arial" w:eastAsia="Times New Roman" w:hAnsi="Arial" w:cs="Arial"/>
                      <w:color w:val="464646"/>
                      <w:sz w:val="14"/>
                      <w:szCs w:val="14"/>
                      <w:lang w:eastAsia="es-AR"/>
                    </w:rPr>
                    <w:br/>
                  </w:r>
                  <w:r>
                    <w:rPr>
                      <w:rFonts w:ascii="Arial" w:eastAsia="Times New Roman" w:hAnsi="Arial" w:cs="Arial"/>
                      <w:b/>
                      <w:bCs/>
                      <w:color w:val="464646"/>
                      <w:sz w:val="14"/>
                      <w:szCs w:val="14"/>
                      <w:lang w:eastAsia="es-AR"/>
                    </w:rPr>
                    <w:t>4.- EXIGENCIAS DE ROTULADO</w:t>
                  </w:r>
                  <w:r>
                    <w:rPr>
                      <w:rFonts w:ascii="Arial" w:eastAsia="Times New Roman" w:hAnsi="Arial" w:cs="Arial"/>
                      <w:color w:val="464646"/>
                      <w:sz w:val="14"/>
                      <w:szCs w:val="14"/>
                      <w:lang w:eastAsia="es-AR"/>
                    </w:rPr>
                    <w:br/>
                    <w:t xml:space="preserve">En el rótulo de los envases que contengan gas oxígeno medicinal producto de la separación del aire por adsorción, constarán como mínimo los siguientes datos: </w:t>
                  </w:r>
                </w:p>
                <w:p w:rsidR="00A01C42" w:rsidRDefault="00A01C42" w:rsidP="00A01C42">
                  <w:pPr>
                    <w:numPr>
                      <w:ilvl w:val="2"/>
                      <w:numId w:val="3"/>
                    </w:numPr>
                    <w:spacing w:before="100" w:beforeAutospacing="1" w:after="100" w:afterAutospacing="1" w:line="240" w:lineRule="auto"/>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t xml:space="preserve">Cruz griega de color verde que identifica los gases medicinales. </w:t>
                  </w:r>
                </w:p>
                <w:p w:rsidR="00A01C42" w:rsidRDefault="00A01C42" w:rsidP="00A01C42">
                  <w:pPr>
                    <w:numPr>
                      <w:ilvl w:val="2"/>
                      <w:numId w:val="3"/>
                    </w:numPr>
                    <w:spacing w:before="100" w:beforeAutospacing="1" w:after="100" w:afterAutospacing="1" w:line="240" w:lineRule="auto"/>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t xml:space="preserve">La leyenda “ Oxígeno Medicinal generado por separación del aire por adsorción.” </w:t>
                  </w:r>
                </w:p>
                <w:p w:rsidR="00A01C42" w:rsidRDefault="00A01C42" w:rsidP="00A01C42">
                  <w:pPr>
                    <w:numPr>
                      <w:ilvl w:val="2"/>
                      <w:numId w:val="3"/>
                    </w:numPr>
                    <w:spacing w:before="100" w:beforeAutospacing="1" w:after="100" w:afterAutospacing="1" w:line="240" w:lineRule="auto"/>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t xml:space="preserve">Composición. </w:t>
                  </w:r>
                </w:p>
                <w:p w:rsidR="00A01C42" w:rsidRDefault="00A01C42" w:rsidP="00A01C42">
                  <w:pPr>
                    <w:numPr>
                      <w:ilvl w:val="2"/>
                      <w:numId w:val="3"/>
                    </w:numPr>
                    <w:spacing w:before="100" w:beforeAutospacing="1" w:after="100" w:afterAutospacing="1" w:line="240" w:lineRule="auto"/>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t xml:space="preserve">Especificaciones técnicas que debe cumplir incluyendo contenido y presión. </w:t>
                  </w:r>
                </w:p>
                <w:p w:rsidR="00A01C42" w:rsidRDefault="00A01C42" w:rsidP="00A01C42">
                  <w:pPr>
                    <w:numPr>
                      <w:ilvl w:val="2"/>
                      <w:numId w:val="3"/>
                    </w:numPr>
                    <w:spacing w:before="100" w:beforeAutospacing="1" w:after="100" w:afterAutospacing="1" w:line="240" w:lineRule="auto"/>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t xml:space="preserve">Identificación del centro asistencial generador: nombre y dirección </w:t>
                  </w:r>
                </w:p>
                <w:p w:rsidR="00A01C42" w:rsidRDefault="00A01C42" w:rsidP="00A01C42">
                  <w:pPr>
                    <w:numPr>
                      <w:ilvl w:val="2"/>
                      <w:numId w:val="3"/>
                    </w:numPr>
                    <w:spacing w:before="100" w:beforeAutospacing="1" w:after="100" w:afterAutospacing="1" w:line="240" w:lineRule="auto"/>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lastRenderedPageBreak/>
                    <w:t xml:space="preserve">Nombre del director técnico y No. de matrícula. </w:t>
                  </w:r>
                </w:p>
                <w:p w:rsidR="00A01C42" w:rsidRDefault="00A01C42" w:rsidP="00A01C42">
                  <w:pPr>
                    <w:numPr>
                      <w:ilvl w:val="2"/>
                      <w:numId w:val="3"/>
                    </w:numPr>
                    <w:spacing w:before="100" w:beforeAutospacing="1" w:after="100" w:afterAutospacing="1" w:line="240" w:lineRule="auto"/>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t xml:space="preserve">Número de lote: El número de lote puede figurar en una etiqueta adicional adherida al recipiente, en forma firme, segura y en lugar bien visible. </w:t>
                  </w:r>
                </w:p>
                <w:p w:rsidR="00A01C42" w:rsidRDefault="00A01C42" w:rsidP="00A01C42">
                  <w:pPr>
                    <w:numPr>
                      <w:ilvl w:val="2"/>
                      <w:numId w:val="3"/>
                    </w:numPr>
                    <w:spacing w:before="100" w:beforeAutospacing="1" w:after="100" w:afterAutospacing="1" w:line="240" w:lineRule="auto"/>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t xml:space="preserve">Fecha de llenado y fecha de vencimiento. </w:t>
                  </w:r>
                </w:p>
                <w:p w:rsidR="00A01C42" w:rsidRDefault="00A01C42" w:rsidP="00A01C42">
                  <w:pPr>
                    <w:numPr>
                      <w:ilvl w:val="2"/>
                      <w:numId w:val="3"/>
                    </w:numPr>
                    <w:spacing w:before="100" w:beforeAutospacing="1" w:after="100" w:afterAutospacing="1" w:line="240" w:lineRule="auto"/>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t xml:space="preserve">Instructivo sobre la manipulación correcta y segura de los productos. </w:t>
                  </w:r>
                </w:p>
                <w:p w:rsidR="00A01C42" w:rsidRDefault="00A01C42" w:rsidP="00A01C42">
                  <w:pPr>
                    <w:numPr>
                      <w:ilvl w:val="2"/>
                      <w:numId w:val="3"/>
                    </w:numPr>
                    <w:spacing w:before="100" w:beforeAutospacing="1" w:after="100" w:afterAutospacing="1" w:line="240" w:lineRule="auto"/>
                    <w:rPr>
                      <w:rFonts w:ascii="Arial" w:eastAsia="Times New Roman" w:hAnsi="Arial" w:cs="Arial"/>
                      <w:color w:val="464646"/>
                      <w:sz w:val="14"/>
                      <w:szCs w:val="14"/>
                      <w:lang w:eastAsia="es-AR"/>
                    </w:rPr>
                  </w:pPr>
                  <w:r>
                    <w:rPr>
                      <w:rFonts w:ascii="Arial" w:eastAsia="Times New Roman" w:hAnsi="Arial" w:cs="Arial"/>
                      <w:color w:val="464646"/>
                      <w:sz w:val="14"/>
                      <w:szCs w:val="14"/>
                      <w:lang w:eastAsia="es-AR"/>
                    </w:rPr>
                    <w:t xml:space="preserve">Debe indicarse expresamente la siguiente leyenda: </w:t>
                  </w:r>
                  <w:r>
                    <w:rPr>
                      <w:rFonts w:ascii="Arial" w:eastAsia="Times New Roman" w:hAnsi="Arial" w:cs="Arial"/>
                      <w:i/>
                      <w:iCs/>
                      <w:color w:val="464646"/>
                      <w:sz w:val="14"/>
                      <w:szCs w:val="14"/>
                      <w:lang w:eastAsia="es-AR"/>
                    </w:rPr>
                    <w:t xml:space="preserve">“El empleo y la dosificación de este gas oxígeno medicinal producto de la separación del aire por adsorción deben ser prescriptos por un medico”. </w:t>
                  </w:r>
                  <w:r>
                    <w:rPr>
                      <w:rFonts w:ascii="Arial" w:eastAsia="Times New Roman" w:hAnsi="Arial" w:cs="Arial"/>
                      <w:color w:val="464646"/>
                      <w:sz w:val="14"/>
                      <w:szCs w:val="14"/>
                      <w:lang w:eastAsia="es-AR"/>
                    </w:rPr>
                    <w:br/>
                  </w:r>
                  <w:r>
                    <w:rPr>
                      <w:rFonts w:ascii="Arial" w:eastAsia="Times New Roman" w:hAnsi="Arial" w:cs="Arial"/>
                      <w:b/>
                      <w:bCs/>
                      <w:color w:val="464646"/>
                      <w:sz w:val="14"/>
                      <w:szCs w:val="14"/>
                      <w:lang w:eastAsia="es-AR"/>
                    </w:rPr>
                    <w:t>5.- ALMACENAMIENTO Y LIBERACIÓN</w:t>
                  </w:r>
                  <w:r>
                    <w:rPr>
                      <w:rFonts w:ascii="Arial" w:eastAsia="Times New Roman" w:hAnsi="Arial" w:cs="Arial"/>
                      <w:color w:val="464646"/>
                      <w:sz w:val="14"/>
                      <w:szCs w:val="14"/>
                      <w:lang w:eastAsia="es-AR"/>
                    </w:rPr>
                    <w:t xml:space="preserve"> </w:t>
                  </w:r>
                  <w:r>
                    <w:rPr>
                      <w:rFonts w:ascii="Arial" w:eastAsia="Times New Roman" w:hAnsi="Arial" w:cs="Arial"/>
                      <w:color w:val="464646"/>
                      <w:sz w:val="14"/>
                      <w:szCs w:val="14"/>
                      <w:lang w:eastAsia="es-AR"/>
                    </w:rPr>
                    <w:br/>
                    <w:t xml:space="preserve">Después del llenado todos los cilindros permanecerán en cuarentena hasta que el Director </w:t>
                  </w:r>
                  <w:r>
                    <w:rPr>
                      <w:rFonts w:ascii="Arial" w:eastAsia="Times New Roman" w:hAnsi="Arial" w:cs="Arial"/>
                      <w:color w:val="464646"/>
                      <w:sz w:val="14"/>
                      <w:szCs w:val="14"/>
                      <w:lang w:eastAsia="es-AR"/>
                    </w:rPr>
                    <w:br/>
                    <w:t xml:space="preserve">Técnico proceda a su liberación, previo control de calidad. Los mismos deben almacenarse en áreas protegidas, y no deben ser sometidos a temperaturas extremas. </w:t>
                  </w:r>
                  <w:r>
                    <w:rPr>
                      <w:rFonts w:ascii="Arial" w:eastAsia="Times New Roman" w:hAnsi="Arial" w:cs="Arial"/>
                      <w:color w:val="464646"/>
                      <w:sz w:val="14"/>
                      <w:szCs w:val="14"/>
                      <w:lang w:eastAsia="es-AR"/>
                    </w:rPr>
                    <w:br/>
                    <w:t xml:space="preserve">Las zonas de almacenamiento serán apropiadas al fin al que se destinan, limpias, secas, ventiladas y libres de materiales combustibles. Los depósitos se organizarán de forma Las zonas de almacenamiento serán apropiadas al fin al que se destinan, limpias, secas, ventiladas y libres de materiales combustibles. Los depósitos se organizarán de forma tal que los cilindros llenos y vacíos permitan una buena rotación de las existencias. </w:t>
                  </w:r>
                  <w:r>
                    <w:rPr>
                      <w:rFonts w:ascii="Arial" w:eastAsia="Times New Roman" w:hAnsi="Arial" w:cs="Arial"/>
                      <w:color w:val="464646"/>
                      <w:sz w:val="14"/>
                      <w:szCs w:val="14"/>
                      <w:lang w:eastAsia="es-AR"/>
                    </w:rPr>
                    <w:br/>
                  </w:r>
                  <w:r>
                    <w:rPr>
                      <w:rFonts w:ascii="Arial" w:eastAsia="Times New Roman" w:hAnsi="Arial" w:cs="Arial"/>
                      <w:color w:val="464646"/>
                      <w:sz w:val="14"/>
                      <w:szCs w:val="14"/>
                      <w:lang w:eastAsia="es-AR"/>
                    </w:rPr>
                    <w:br/>
                  </w:r>
                  <w:r>
                    <w:rPr>
                      <w:rFonts w:ascii="Arial" w:eastAsia="Times New Roman" w:hAnsi="Arial" w:cs="Arial"/>
                      <w:b/>
                      <w:bCs/>
                      <w:color w:val="464646"/>
                      <w:sz w:val="14"/>
                      <w:szCs w:val="14"/>
                      <w:lang w:eastAsia="es-AR"/>
                    </w:rPr>
                    <w:t>6.-GARANTÍA DE CALIDAD</w:t>
                  </w:r>
                  <w:r>
                    <w:rPr>
                      <w:rFonts w:ascii="Arial" w:eastAsia="Times New Roman" w:hAnsi="Arial" w:cs="Arial"/>
                      <w:color w:val="464646"/>
                      <w:sz w:val="14"/>
                      <w:szCs w:val="14"/>
                      <w:lang w:eastAsia="es-AR"/>
                    </w:rPr>
                    <w:t xml:space="preserve"> </w:t>
                  </w:r>
                  <w:r>
                    <w:rPr>
                      <w:rFonts w:ascii="Arial" w:eastAsia="Times New Roman" w:hAnsi="Arial" w:cs="Arial"/>
                      <w:color w:val="464646"/>
                      <w:sz w:val="14"/>
                      <w:szCs w:val="14"/>
                      <w:lang w:eastAsia="es-AR"/>
                    </w:rPr>
                    <w:br/>
                    <w:t xml:space="preserve">La producción de oxígeno medicinal por PSA deberá contar con un sistema de garantía de calidad. A tal efecto, se observará en sus procesos las Buenas Prácticas de Fabricación y Control de Medicamentos, con las particularidades especificas para el gas oxígeno medicinal producto de la separación del aire por adsorción. </w:t>
                  </w:r>
                  <w:r>
                    <w:rPr>
                      <w:rFonts w:ascii="Arial" w:eastAsia="Times New Roman" w:hAnsi="Arial" w:cs="Arial"/>
                      <w:color w:val="464646"/>
                      <w:sz w:val="14"/>
                      <w:szCs w:val="14"/>
                      <w:lang w:eastAsia="es-AR"/>
                    </w:rPr>
                    <w:br/>
                  </w:r>
                  <w:r>
                    <w:rPr>
                      <w:rFonts w:ascii="Arial" w:eastAsia="Times New Roman" w:hAnsi="Arial" w:cs="Arial"/>
                      <w:color w:val="464646"/>
                      <w:sz w:val="14"/>
                      <w:szCs w:val="14"/>
                      <w:lang w:eastAsia="es-AR"/>
                    </w:rPr>
                    <w:br/>
                  </w:r>
                  <w:r>
                    <w:rPr>
                      <w:rFonts w:ascii="Arial" w:eastAsia="Times New Roman" w:hAnsi="Arial" w:cs="Arial"/>
                      <w:b/>
                      <w:bCs/>
                      <w:color w:val="464646"/>
                      <w:sz w:val="14"/>
                      <w:szCs w:val="14"/>
                      <w:lang w:eastAsia="es-AR"/>
                    </w:rPr>
                    <w:t>CONTROL DE CALIDAD DEL PRODUCTO TERMINADO</w:t>
                  </w:r>
                  <w:r>
                    <w:rPr>
                      <w:rFonts w:ascii="Arial" w:eastAsia="Times New Roman" w:hAnsi="Arial" w:cs="Arial"/>
                      <w:color w:val="464646"/>
                      <w:sz w:val="14"/>
                      <w:szCs w:val="14"/>
                      <w:lang w:eastAsia="es-AR"/>
                    </w:rPr>
                    <w:br/>
                    <w:t xml:space="preserve">Se analizará al menos un cilindro por cada ciclo ininterrumpido o rampa de llenado con el fin de identificar el gas y determinar su pureza y el tenor de impurezas. </w:t>
                  </w:r>
                  <w:r>
                    <w:rPr>
                      <w:rFonts w:ascii="Arial" w:eastAsia="Times New Roman" w:hAnsi="Arial" w:cs="Arial"/>
                      <w:color w:val="464646"/>
                      <w:sz w:val="14"/>
                      <w:szCs w:val="14"/>
                      <w:lang w:eastAsia="es-AR"/>
                    </w:rPr>
                    <w:br/>
                  </w:r>
                  <w:r>
                    <w:rPr>
                      <w:rFonts w:ascii="Arial" w:eastAsia="Times New Roman" w:hAnsi="Arial" w:cs="Arial"/>
                      <w:color w:val="464646"/>
                      <w:sz w:val="14"/>
                      <w:szCs w:val="14"/>
                      <w:lang w:eastAsia="es-AR"/>
                    </w:rPr>
                    <w:br/>
                  </w:r>
                  <w:r>
                    <w:rPr>
                      <w:rFonts w:ascii="Arial" w:eastAsia="Times New Roman" w:hAnsi="Arial" w:cs="Arial"/>
                      <w:b/>
                      <w:bCs/>
                      <w:color w:val="464646"/>
                      <w:sz w:val="14"/>
                      <w:szCs w:val="14"/>
                      <w:lang w:eastAsia="es-AR"/>
                    </w:rPr>
                    <w:t xml:space="preserve">REQUISITOS DE CONTROL DE CALIDAD </w:t>
                  </w:r>
                  <w:r>
                    <w:rPr>
                      <w:rFonts w:ascii="Arial" w:eastAsia="Times New Roman" w:hAnsi="Arial" w:cs="Arial"/>
                      <w:color w:val="464646"/>
                      <w:sz w:val="14"/>
                      <w:szCs w:val="14"/>
                      <w:lang w:eastAsia="es-AR"/>
                    </w:rPr>
                    <w:br/>
                    <w:t>OXIGENO 98.0% V/V como mínimo.</w:t>
                  </w:r>
                  <w:r>
                    <w:rPr>
                      <w:rFonts w:ascii="Arial" w:eastAsia="Times New Roman" w:hAnsi="Arial" w:cs="Arial"/>
                      <w:color w:val="464646"/>
                      <w:sz w:val="14"/>
                      <w:szCs w:val="14"/>
                      <w:lang w:eastAsia="es-AR"/>
                    </w:rPr>
                    <w:br/>
                    <w:t>1. Título (Pureza de Oxígeno) Contiene no menos de 98.0% V/V de Oxigeno.</w:t>
                  </w:r>
                  <w:r>
                    <w:rPr>
                      <w:rFonts w:ascii="Arial" w:eastAsia="Times New Roman" w:hAnsi="Arial" w:cs="Arial"/>
                      <w:color w:val="464646"/>
                      <w:sz w:val="14"/>
                      <w:szCs w:val="14"/>
                      <w:lang w:eastAsia="es-AR"/>
                    </w:rPr>
                    <w:br/>
                    <w:t>2. Dióxido de Carbono (&lt;100ppm V/V)</w:t>
                  </w:r>
                  <w:r>
                    <w:rPr>
                      <w:rFonts w:ascii="Arial" w:eastAsia="Times New Roman" w:hAnsi="Arial" w:cs="Arial"/>
                      <w:color w:val="464646"/>
                      <w:sz w:val="14"/>
                      <w:szCs w:val="14"/>
                      <w:lang w:eastAsia="es-AR"/>
                    </w:rPr>
                    <w:br/>
                    <w:t>3. Monóxido de Carbono (&lt;5ppmV/V)</w:t>
                  </w:r>
                  <w:r>
                    <w:rPr>
                      <w:rFonts w:ascii="Arial" w:eastAsia="Times New Roman" w:hAnsi="Arial" w:cs="Arial"/>
                      <w:color w:val="464646"/>
                      <w:sz w:val="14"/>
                      <w:szCs w:val="14"/>
                      <w:lang w:eastAsia="es-AR"/>
                    </w:rPr>
                    <w:br/>
                    <w:t>4. Metano (&lt;25ppm V/V)</w:t>
                  </w:r>
                  <w:r>
                    <w:rPr>
                      <w:rFonts w:ascii="Arial" w:eastAsia="Times New Roman" w:hAnsi="Arial" w:cs="Arial"/>
                      <w:color w:val="464646"/>
                      <w:sz w:val="14"/>
                      <w:szCs w:val="14"/>
                      <w:lang w:eastAsia="es-AR"/>
                    </w:rPr>
                    <w:br/>
                    <w:t>5. Hidrocarburos Volátiles Totales (no-metano)(&lt;50%TLV).</w:t>
                  </w:r>
                  <w:r>
                    <w:rPr>
                      <w:rFonts w:ascii="Arial" w:eastAsia="Times New Roman" w:hAnsi="Arial" w:cs="Arial"/>
                      <w:color w:val="464646"/>
                      <w:sz w:val="14"/>
                      <w:szCs w:val="14"/>
                      <w:lang w:eastAsia="es-AR"/>
                    </w:rPr>
                    <w:br/>
                    <w:t>6. Hidrocarburos Halogenados totales (&lt;5ppm V/V)</w:t>
                  </w:r>
                  <w:r>
                    <w:rPr>
                      <w:rFonts w:ascii="Arial" w:eastAsia="Times New Roman" w:hAnsi="Arial" w:cs="Arial"/>
                      <w:color w:val="464646"/>
                      <w:sz w:val="14"/>
                      <w:szCs w:val="14"/>
                      <w:lang w:eastAsia="es-AR"/>
                    </w:rPr>
                    <w:br/>
                    <w:t>7. Agentes anestésicos (&lt;0,1ppm V/V)</w:t>
                  </w:r>
                  <w:r>
                    <w:rPr>
                      <w:rFonts w:ascii="Arial" w:eastAsia="Times New Roman" w:hAnsi="Arial" w:cs="Arial"/>
                      <w:color w:val="464646"/>
                      <w:sz w:val="14"/>
                      <w:szCs w:val="14"/>
                      <w:lang w:eastAsia="es-AR"/>
                    </w:rPr>
                    <w:br/>
                    <w:t>8. Oxido de Nitrógeno (NO y NO2) (&lt;2ppm V/V)</w:t>
                  </w:r>
                  <w:r>
                    <w:rPr>
                      <w:rFonts w:ascii="Arial" w:eastAsia="Times New Roman" w:hAnsi="Arial" w:cs="Arial"/>
                      <w:color w:val="464646"/>
                      <w:sz w:val="14"/>
                      <w:szCs w:val="14"/>
                      <w:lang w:eastAsia="es-AR"/>
                    </w:rPr>
                    <w:br/>
                    <w:t>9. Oxido Nitroso (&lt;5ppm V/V)</w:t>
                  </w:r>
                  <w:r>
                    <w:rPr>
                      <w:rFonts w:ascii="Arial" w:eastAsia="Times New Roman" w:hAnsi="Arial" w:cs="Arial"/>
                      <w:color w:val="464646"/>
                      <w:sz w:val="14"/>
                      <w:szCs w:val="14"/>
                      <w:lang w:eastAsia="es-AR"/>
                    </w:rPr>
                    <w:br/>
                    <w:t>10. Aceite (&lt;0,1mg/m3)</w:t>
                  </w:r>
                  <w:r>
                    <w:rPr>
                      <w:rFonts w:ascii="Arial" w:eastAsia="Times New Roman" w:hAnsi="Arial" w:cs="Arial"/>
                      <w:color w:val="464646"/>
                      <w:sz w:val="14"/>
                      <w:szCs w:val="14"/>
                      <w:lang w:eastAsia="es-AR"/>
                    </w:rPr>
                    <w:br/>
                    <w:t>11. Partículas. Residuo no volátil (&lt;1mg/m3)</w:t>
                  </w:r>
                  <w:r>
                    <w:rPr>
                      <w:rFonts w:ascii="Arial" w:eastAsia="Times New Roman" w:hAnsi="Arial" w:cs="Arial"/>
                      <w:color w:val="464646"/>
                      <w:sz w:val="14"/>
                      <w:szCs w:val="14"/>
                      <w:lang w:eastAsia="es-AR"/>
                    </w:rPr>
                    <w:br/>
                    <w:t>12. Dióxido de azufre</w:t>
                  </w:r>
                  <w:r>
                    <w:rPr>
                      <w:rFonts w:ascii="Arial" w:eastAsia="Times New Roman" w:hAnsi="Arial" w:cs="Arial"/>
                      <w:color w:val="464646"/>
                      <w:sz w:val="14"/>
                      <w:szCs w:val="14"/>
                      <w:lang w:eastAsia="es-AR"/>
                    </w:rPr>
                    <w:br/>
                    <w:t>13. Vapor de agua (&lt;67ppm V/V)</w:t>
                  </w:r>
                  <w:r>
                    <w:rPr>
                      <w:rFonts w:ascii="Arial" w:eastAsia="Times New Roman" w:hAnsi="Arial" w:cs="Arial"/>
                      <w:color w:val="464646"/>
                      <w:sz w:val="14"/>
                      <w:szCs w:val="14"/>
                      <w:lang w:eastAsia="es-AR"/>
                    </w:rPr>
                    <w:br/>
                    <w:t>14. Otros componentes identificados (de acuerdo a lo que surgiere del monitoreo de calidad ambiental).</w:t>
                  </w:r>
                  <w:r>
                    <w:rPr>
                      <w:rFonts w:ascii="Arial" w:eastAsia="Times New Roman" w:hAnsi="Arial" w:cs="Arial"/>
                      <w:color w:val="464646"/>
                      <w:sz w:val="14"/>
                      <w:szCs w:val="14"/>
                      <w:lang w:eastAsia="es-AR"/>
                    </w:rPr>
                    <w:br/>
                  </w:r>
                  <w:r>
                    <w:rPr>
                      <w:rFonts w:ascii="Arial" w:eastAsia="Times New Roman" w:hAnsi="Arial" w:cs="Arial"/>
                      <w:color w:val="464646"/>
                      <w:sz w:val="14"/>
                      <w:szCs w:val="14"/>
                      <w:lang w:eastAsia="es-AR"/>
                    </w:rPr>
                    <w:br/>
                  </w:r>
                  <w:r>
                    <w:rPr>
                      <w:rFonts w:ascii="Arial" w:eastAsia="Times New Roman" w:hAnsi="Arial" w:cs="Arial"/>
                      <w:color w:val="464646"/>
                      <w:sz w:val="14"/>
                      <w:szCs w:val="14"/>
                      <w:lang w:eastAsia="es-AR"/>
                    </w:rPr>
                    <w:br/>
                    <w:t>DR ROBERTO CHUIT</w:t>
                  </w:r>
                  <w:r>
                    <w:rPr>
                      <w:rFonts w:ascii="Arial" w:eastAsia="Times New Roman" w:hAnsi="Arial" w:cs="Arial"/>
                      <w:color w:val="464646"/>
                      <w:sz w:val="14"/>
                      <w:szCs w:val="14"/>
                      <w:lang w:eastAsia="es-AR"/>
                    </w:rPr>
                    <w:br/>
                    <w:t>MINISTRO DE SALUD</w:t>
                  </w:r>
                </w:p>
              </w:tc>
            </w:tr>
          </w:tbl>
          <w:p w:rsidR="00A01C42" w:rsidRDefault="00A01C42">
            <w:pPr>
              <w:jc w:val="center"/>
              <w:rPr>
                <w:rFonts w:cs="Times New Roman"/>
              </w:rPr>
            </w:pPr>
          </w:p>
        </w:tc>
      </w:tr>
    </w:tbl>
    <w:p w:rsidR="00A01C42" w:rsidRDefault="00A01C42"/>
    <w:sectPr w:rsidR="00A01C42" w:rsidSect="00752F6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A1AC2"/>
    <w:multiLevelType w:val="multilevel"/>
    <w:tmpl w:val="62AA6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425"/>
  <w:characterSpacingControl w:val="doNotCompress"/>
  <w:compat/>
  <w:rsids>
    <w:rsidRoot w:val="00A01C42"/>
    <w:rsid w:val="00752F69"/>
    <w:rsid w:val="00A01C4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F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01C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C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3590739">
      <w:bodyDiv w:val="1"/>
      <w:marLeft w:val="0"/>
      <w:marRight w:val="0"/>
      <w:marTop w:val="0"/>
      <w:marBottom w:val="0"/>
      <w:divBdr>
        <w:top w:val="none" w:sz="0" w:space="0" w:color="auto"/>
        <w:left w:val="none" w:sz="0" w:space="0" w:color="auto"/>
        <w:bottom w:val="none" w:sz="0" w:space="0" w:color="auto"/>
        <w:right w:val="none" w:sz="0" w:space="0" w:color="auto"/>
      </w:divBdr>
      <w:divsChild>
        <w:div w:id="47608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1672</Words>
  <Characters>9196</Characters>
  <Application>Microsoft Office Word</Application>
  <DocSecurity>0</DocSecurity>
  <Lines>76</Lines>
  <Paragraphs>21</Paragraphs>
  <ScaleCrop>false</ScaleCrop>
  <Company>Air Liquide</Company>
  <LinksUpToDate>false</LinksUpToDate>
  <CharactersWithSpaces>10847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 Liquide</dc:creator>
  <cp:lastModifiedBy>Air Liquide</cp:lastModifiedBy>
  <cp:revision>1</cp:revision>
  <dcterms:created xsi:type="dcterms:W3CDTF">2014-05-15T21:10:00Z</dcterms:created>
  <dcterms:modified xsi:type="dcterms:W3CDTF">2014-05-15T21:11:00Z</dcterms:modified>
</cp:coreProperties>
</file>